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4FF5" w14:textId="5A3041AF" w:rsidR="009A1644" w:rsidRDefault="009A1644" w:rsidP="00642E35">
      <w:pPr>
        <w:jc w:val="center"/>
        <w:rPr>
          <w:b/>
          <w:bCs/>
          <w:sz w:val="32"/>
          <w:szCs w:val="32"/>
        </w:rPr>
      </w:pPr>
      <w:r>
        <w:rPr>
          <w:b/>
          <w:i/>
          <w:noProof/>
          <w:sz w:val="28"/>
          <w:szCs w:val="28"/>
          <w:lang w:eastAsia="es-DO"/>
        </w:rPr>
        <w:drawing>
          <wp:inline distT="0" distB="0" distL="0" distR="0" wp14:anchorId="0854AF98" wp14:editId="521A69E1">
            <wp:extent cx="2171700" cy="57150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571500"/>
                    </a:xfrm>
                    <a:prstGeom prst="rect">
                      <a:avLst/>
                    </a:prstGeom>
                    <a:noFill/>
                    <a:ln>
                      <a:noFill/>
                    </a:ln>
                  </pic:spPr>
                </pic:pic>
              </a:graphicData>
            </a:graphic>
          </wp:inline>
        </w:drawing>
      </w:r>
    </w:p>
    <w:p w14:paraId="1AAE76D2" w14:textId="77777777" w:rsidR="009A1644" w:rsidRDefault="009A1644" w:rsidP="009A1644">
      <w:pPr>
        <w:rPr>
          <w:b/>
          <w:bCs/>
          <w:sz w:val="32"/>
          <w:szCs w:val="32"/>
        </w:rPr>
      </w:pPr>
    </w:p>
    <w:p w14:paraId="2EC8978B" w14:textId="7E6F9CC0" w:rsidR="007649A2" w:rsidRPr="004E081F" w:rsidRDefault="00642E35" w:rsidP="00642E35">
      <w:pPr>
        <w:jc w:val="center"/>
        <w:rPr>
          <w:b/>
          <w:bCs/>
          <w:sz w:val="32"/>
          <w:szCs w:val="32"/>
        </w:rPr>
      </w:pPr>
      <w:r w:rsidRPr="004E081F">
        <w:rPr>
          <w:b/>
          <w:bCs/>
          <w:sz w:val="32"/>
          <w:szCs w:val="32"/>
        </w:rPr>
        <w:t xml:space="preserve">Consolidado del Cumplimiento </w:t>
      </w:r>
      <w:r w:rsidR="0017576F">
        <w:rPr>
          <w:b/>
          <w:bCs/>
          <w:sz w:val="32"/>
          <w:szCs w:val="32"/>
        </w:rPr>
        <w:t xml:space="preserve">del </w:t>
      </w:r>
      <w:r w:rsidRPr="004E081F">
        <w:rPr>
          <w:b/>
          <w:bCs/>
          <w:sz w:val="32"/>
          <w:szCs w:val="32"/>
        </w:rPr>
        <w:t>Acceso a la Información P</w:t>
      </w:r>
      <w:r w:rsidR="004E081F">
        <w:rPr>
          <w:b/>
          <w:bCs/>
          <w:sz w:val="32"/>
          <w:szCs w:val="32"/>
        </w:rPr>
        <w:t>ú</w:t>
      </w:r>
      <w:r w:rsidRPr="004E081F">
        <w:rPr>
          <w:b/>
          <w:bCs/>
          <w:sz w:val="32"/>
          <w:szCs w:val="32"/>
        </w:rPr>
        <w:t>blica</w:t>
      </w:r>
      <w:r w:rsidR="0017576F">
        <w:rPr>
          <w:b/>
          <w:bCs/>
          <w:sz w:val="32"/>
          <w:szCs w:val="32"/>
        </w:rPr>
        <w:t>,</w:t>
      </w:r>
      <w:r w:rsidRPr="004E081F">
        <w:rPr>
          <w:b/>
          <w:bCs/>
          <w:sz w:val="32"/>
          <w:szCs w:val="32"/>
        </w:rPr>
        <w:t xml:space="preserve"> Año 2024</w:t>
      </w:r>
      <w:r w:rsidR="0017576F">
        <w:rPr>
          <w:b/>
          <w:bCs/>
          <w:sz w:val="32"/>
          <w:szCs w:val="32"/>
        </w:rPr>
        <w:t>.</w:t>
      </w:r>
    </w:p>
    <w:p w14:paraId="2D4E3573" w14:textId="7CAF389D" w:rsidR="00642E35" w:rsidRDefault="00642E35" w:rsidP="005A0BB0">
      <w:pPr>
        <w:jc w:val="both"/>
      </w:pPr>
      <w:r>
        <w:t xml:space="preserve">En el pasado año 2024, la Oficina de Acceso a la Información (OAI) recibió </w:t>
      </w:r>
      <w:r w:rsidRPr="005A0BB0">
        <w:t>1</w:t>
      </w:r>
      <w:r w:rsidR="005A0BB0" w:rsidRPr="005A0BB0">
        <w:t>9</w:t>
      </w:r>
      <w:r w:rsidRPr="005A0BB0">
        <w:t xml:space="preserve"> </w:t>
      </w:r>
      <w:r>
        <w:t xml:space="preserve">solicitudes de información, todas fueron completadas y respondidas </w:t>
      </w:r>
      <w:r w:rsidR="00216ACA">
        <w:t xml:space="preserve">en tiempo oportuno </w:t>
      </w:r>
      <w:r w:rsidR="004E081F">
        <w:t>de acuerdo con</w:t>
      </w:r>
      <w:r w:rsidR="00216ACA">
        <w:t xml:space="preserve"> lo </w:t>
      </w:r>
      <w:r>
        <w:t xml:space="preserve">establecido </w:t>
      </w:r>
      <w:r w:rsidR="00216ACA">
        <w:t>en</w:t>
      </w:r>
      <w:r>
        <w:t xml:space="preserve"> la Ley 200-</w:t>
      </w:r>
      <w:r w:rsidR="002667E8">
        <w:t>0</w:t>
      </w:r>
      <w:r>
        <w:t>4 de Libre Acceso a la Información</w:t>
      </w:r>
      <w:r w:rsidR="00216ACA">
        <w:t xml:space="preserve"> Pública. </w:t>
      </w:r>
      <w:r w:rsidR="00E860EB">
        <w:t xml:space="preserve"> La solicitud rechazada obedeció a que el solicitante no completó los datos que estaban incompletos en la solicitud de información.</w:t>
      </w:r>
    </w:p>
    <w:p w14:paraId="5847396E" w14:textId="3F731105" w:rsidR="00642E35" w:rsidRDefault="00642E35" w:rsidP="00642E35"/>
    <w:tbl>
      <w:tblPr>
        <w:tblStyle w:val="Tablaconcuadrcula"/>
        <w:tblW w:w="0" w:type="auto"/>
        <w:tblLook w:val="04A0" w:firstRow="1" w:lastRow="0" w:firstColumn="1" w:lastColumn="0" w:noHBand="0" w:noVBand="1"/>
      </w:tblPr>
      <w:tblGrid>
        <w:gridCol w:w="2689"/>
        <w:gridCol w:w="2551"/>
        <w:gridCol w:w="1559"/>
        <w:gridCol w:w="1695"/>
      </w:tblGrid>
      <w:tr w:rsidR="00642E35" w14:paraId="7DE8313A" w14:textId="77777777" w:rsidTr="00D25CFB">
        <w:tc>
          <w:tcPr>
            <w:tcW w:w="2689" w:type="dxa"/>
            <w:shd w:val="clear" w:color="auto" w:fill="DAE9F7" w:themeFill="text2" w:themeFillTint="1A"/>
          </w:tcPr>
          <w:p w14:paraId="3E3F3B5B" w14:textId="2CC2D3B7" w:rsidR="00642E35" w:rsidRPr="00D25CFB" w:rsidRDefault="00642E35" w:rsidP="00642E35">
            <w:pPr>
              <w:rPr>
                <w:b/>
                <w:bCs/>
              </w:rPr>
            </w:pPr>
            <w:r w:rsidRPr="00D25CFB">
              <w:rPr>
                <w:b/>
                <w:bCs/>
              </w:rPr>
              <w:t xml:space="preserve">Solicitudes Recibidas </w:t>
            </w:r>
          </w:p>
        </w:tc>
        <w:tc>
          <w:tcPr>
            <w:tcW w:w="2551" w:type="dxa"/>
            <w:shd w:val="clear" w:color="auto" w:fill="DAE9F7" w:themeFill="text2" w:themeFillTint="1A"/>
          </w:tcPr>
          <w:p w14:paraId="1AD4D7F8" w14:textId="78A1CDED" w:rsidR="00642E35" w:rsidRPr="00D25CFB" w:rsidRDefault="00D25CFB" w:rsidP="00642E35">
            <w:pPr>
              <w:rPr>
                <w:b/>
                <w:bCs/>
              </w:rPr>
            </w:pPr>
            <w:r w:rsidRPr="00D25CFB">
              <w:rPr>
                <w:b/>
                <w:bCs/>
              </w:rPr>
              <w:t>Completadas</w:t>
            </w:r>
          </w:p>
        </w:tc>
        <w:tc>
          <w:tcPr>
            <w:tcW w:w="1559" w:type="dxa"/>
            <w:shd w:val="clear" w:color="auto" w:fill="DAE9F7" w:themeFill="text2" w:themeFillTint="1A"/>
          </w:tcPr>
          <w:p w14:paraId="726E0AA0" w14:textId="3ABBF613" w:rsidR="00642E35" w:rsidRPr="00D25CFB" w:rsidRDefault="00D25CFB" w:rsidP="00642E35">
            <w:pPr>
              <w:rPr>
                <w:b/>
                <w:bCs/>
              </w:rPr>
            </w:pPr>
            <w:r w:rsidRPr="00D25CFB">
              <w:rPr>
                <w:b/>
                <w:bCs/>
              </w:rPr>
              <w:t>Pendientes</w:t>
            </w:r>
          </w:p>
        </w:tc>
        <w:tc>
          <w:tcPr>
            <w:tcW w:w="1695" w:type="dxa"/>
            <w:shd w:val="clear" w:color="auto" w:fill="DAE9F7" w:themeFill="text2" w:themeFillTint="1A"/>
          </w:tcPr>
          <w:p w14:paraId="029A8B8C" w14:textId="151F2FB9" w:rsidR="00642E35" w:rsidRPr="00D25CFB" w:rsidRDefault="00D25CFB" w:rsidP="00642E35">
            <w:pPr>
              <w:rPr>
                <w:b/>
                <w:bCs/>
              </w:rPr>
            </w:pPr>
            <w:r w:rsidRPr="00D25CFB">
              <w:rPr>
                <w:b/>
                <w:bCs/>
              </w:rPr>
              <w:t xml:space="preserve">Rechazadas </w:t>
            </w:r>
          </w:p>
        </w:tc>
      </w:tr>
      <w:tr w:rsidR="00642E35" w14:paraId="41A34236" w14:textId="77777777" w:rsidTr="00D25CFB">
        <w:tc>
          <w:tcPr>
            <w:tcW w:w="2689" w:type="dxa"/>
          </w:tcPr>
          <w:p w14:paraId="4FB58731" w14:textId="43E07C9B" w:rsidR="00642E35" w:rsidRDefault="005A0BB0" w:rsidP="005A0BB0">
            <w:pPr>
              <w:jc w:val="center"/>
              <w:rPr>
                <w:sz w:val="32"/>
                <w:szCs w:val="32"/>
              </w:rPr>
            </w:pPr>
            <w:r>
              <w:rPr>
                <w:sz w:val="32"/>
                <w:szCs w:val="32"/>
              </w:rPr>
              <w:t>19</w:t>
            </w:r>
          </w:p>
        </w:tc>
        <w:tc>
          <w:tcPr>
            <w:tcW w:w="2551" w:type="dxa"/>
          </w:tcPr>
          <w:p w14:paraId="02103CCB" w14:textId="5B60B595" w:rsidR="00642E35" w:rsidRDefault="005A0BB0" w:rsidP="005A0BB0">
            <w:pPr>
              <w:jc w:val="center"/>
              <w:rPr>
                <w:sz w:val="32"/>
                <w:szCs w:val="32"/>
              </w:rPr>
            </w:pPr>
            <w:r>
              <w:rPr>
                <w:sz w:val="32"/>
                <w:szCs w:val="32"/>
              </w:rPr>
              <w:t>19</w:t>
            </w:r>
          </w:p>
        </w:tc>
        <w:tc>
          <w:tcPr>
            <w:tcW w:w="1559" w:type="dxa"/>
          </w:tcPr>
          <w:p w14:paraId="43F8F0FE" w14:textId="2823AAAF" w:rsidR="00642E35" w:rsidRDefault="00D25CFB" w:rsidP="00D25CFB">
            <w:pPr>
              <w:jc w:val="center"/>
              <w:rPr>
                <w:sz w:val="32"/>
                <w:szCs w:val="32"/>
              </w:rPr>
            </w:pPr>
            <w:r>
              <w:rPr>
                <w:sz w:val="32"/>
                <w:szCs w:val="32"/>
              </w:rPr>
              <w:t>0</w:t>
            </w:r>
          </w:p>
        </w:tc>
        <w:tc>
          <w:tcPr>
            <w:tcW w:w="1695" w:type="dxa"/>
          </w:tcPr>
          <w:p w14:paraId="4042116C" w14:textId="68769449" w:rsidR="00642E35" w:rsidRDefault="00D25CFB" w:rsidP="00D25CFB">
            <w:pPr>
              <w:jc w:val="center"/>
              <w:rPr>
                <w:sz w:val="32"/>
                <w:szCs w:val="32"/>
              </w:rPr>
            </w:pPr>
            <w:r>
              <w:rPr>
                <w:sz w:val="32"/>
                <w:szCs w:val="32"/>
              </w:rPr>
              <w:t>1</w:t>
            </w:r>
          </w:p>
        </w:tc>
      </w:tr>
    </w:tbl>
    <w:p w14:paraId="0712F97C" w14:textId="487AD80B" w:rsidR="00D25CFB" w:rsidRDefault="00D25CFB" w:rsidP="00642E35">
      <w:pPr>
        <w:rPr>
          <w:color w:val="FF0000"/>
          <w:sz w:val="32"/>
          <w:szCs w:val="32"/>
        </w:rPr>
      </w:pPr>
    </w:p>
    <w:p w14:paraId="565F339F" w14:textId="77777777" w:rsidR="00216ACA" w:rsidRDefault="00216ACA" w:rsidP="00642E35">
      <w:pPr>
        <w:rPr>
          <w:color w:val="FF0000"/>
          <w:sz w:val="32"/>
          <w:szCs w:val="32"/>
        </w:rPr>
      </w:pPr>
    </w:p>
    <w:p w14:paraId="26ED0151" w14:textId="5AE297C7" w:rsidR="00D25CFB" w:rsidRDefault="00216ACA" w:rsidP="00642E35">
      <w:pPr>
        <w:rPr>
          <w:color w:val="FF0000"/>
          <w:sz w:val="32"/>
          <w:szCs w:val="32"/>
        </w:rPr>
      </w:pPr>
      <w:r>
        <w:rPr>
          <w:noProof/>
        </w:rPr>
        <w:drawing>
          <wp:inline distT="0" distB="0" distL="0" distR="0" wp14:anchorId="41E5A6E7" wp14:editId="5291D7D0">
            <wp:extent cx="5400040" cy="2188210"/>
            <wp:effectExtent l="0" t="0" r="10160" b="2540"/>
            <wp:docPr id="44543140" name="Gráfico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A7107A" w14:textId="77777777" w:rsidR="007823C7" w:rsidRDefault="007823C7" w:rsidP="008631A1">
      <w:pPr>
        <w:jc w:val="both"/>
      </w:pPr>
    </w:p>
    <w:p w14:paraId="6E38CE5B" w14:textId="409A471E" w:rsidR="00E860EB" w:rsidRPr="008631A1" w:rsidRDefault="002667E8" w:rsidP="008631A1">
      <w:pPr>
        <w:jc w:val="both"/>
      </w:pPr>
      <w:r w:rsidRPr="008631A1">
        <w:t>En cuanto al portal del 311, recibimos 2 quejas y 2 reclamaciones, a las que dimos respuesta antes del tiempo establecido.</w:t>
      </w:r>
    </w:p>
    <w:p w14:paraId="38290580" w14:textId="13F60BD1" w:rsidR="00D25CFB" w:rsidRPr="008631A1" w:rsidRDefault="00D25CFB" w:rsidP="004E081F">
      <w:pPr>
        <w:jc w:val="both"/>
        <w:rPr>
          <w:b/>
          <w:bCs/>
          <w:color w:val="000000" w:themeColor="text1"/>
        </w:rPr>
      </w:pPr>
      <w:r w:rsidRPr="008631A1">
        <w:rPr>
          <w:b/>
          <w:bCs/>
          <w:color w:val="000000" w:themeColor="text1"/>
        </w:rPr>
        <w:t>Resultados del 311, Sistema de Quejas, Reclamaciones y Sugerencias.</w:t>
      </w:r>
    </w:p>
    <w:tbl>
      <w:tblPr>
        <w:tblStyle w:val="Tablaconcuadrcula"/>
        <w:tblW w:w="0" w:type="auto"/>
        <w:tblLook w:val="04A0" w:firstRow="1" w:lastRow="0" w:firstColumn="1" w:lastColumn="0" w:noHBand="0" w:noVBand="1"/>
      </w:tblPr>
      <w:tblGrid>
        <w:gridCol w:w="2831"/>
        <w:gridCol w:w="2831"/>
        <w:gridCol w:w="2832"/>
      </w:tblGrid>
      <w:tr w:rsidR="00D25CFB" w14:paraId="1F3C277A" w14:textId="77777777" w:rsidTr="00D25CFB">
        <w:tc>
          <w:tcPr>
            <w:tcW w:w="2831" w:type="dxa"/>
          </w:tcPr>
          <w:p w14:paraId="22235FE3" w14:textId="4174DD8F" w:rsidR="00D25CFB" w:rsidRDefault="00D25CFB" w:rsidP="00642E35">
            <w:pPr>
              <w:rPr>
                <w:color w:val="000000" w:themeColor="text1"/>
                <w:sz w:val="32"/>
                <w:szCs w:val="32"/>
              </w:rPr>
            </w:pPr>
            <w:r>
              <w:rPr>
                <w:color w:val="000000" w:themeColor="text1"/>
                <w:sz w:val="32"/>
                <w:szCs w:val="32"/>
              </w:rPr>
              <w:t>Quejas</w:t>
            </w:r>
          </w:p>
        </w:tc>
        <w:tc>
          <w:tcPr>
            <w:tcW w:w="2831" w:type="dxa"/>
          </w:tcPr>
          <w:p w14:paraId="42224189" w14:textId="38C5FB19" w:rsidR="00D25CFB" w:rsidRDefault="00D25CFB" w:rsidP="00642E35">
            <w:pPr>
              <w:rPr>
                <w:color w:val="000000" w:themeColor="text1"/>
                <w:sz w:val="32"/>
                <w:szCs w:val="32"/>
              </w:rPr>
            </w:pPr>
            <w:r>
              <w:rPr>
                <w:color w:val="000000" w:themeColor="text1"/>
                <w:sz w:val="32"/>
                <w:szCs w:val="32"/>
              </w:rPr>
              <w:t xml:space="preserve">Reclamaciones </w:t>
            </w:r>
          </w:p>
        </w:tc>
        <w:tc>
          <w:tcPr>
            <w:tcW w:w="2832" w:type="dxa"/>
          </w:tcPr>
          <w:p w14:paraId="3738F5D8" w14:textId="1353C7FC" w:rsidR="00D25CFB" w:rsidRDefault="00D25CFB" w:rsidP="00642E35">
            <w:pPr>
              <w:rPr>
                <w:color w:val="000000" w:themeColor="text1"/>
                <w:sz w:val="32"/>
                <w:szCs w:val="32"/>
              </w:rPr>
            </w:pPr>
            <w:r>
              <w:rPr>
                <w:color w:val="000000" w:themeColor="text1"/>
                <w:sz w:val="32"/>
                <w:szCs w:val="32"/>
              </w:rPr>
              <w:t>Sugerencias</w:t>
            </w:r>
          </w:p>
        </w:tc>
      </w:tr>
      <w:tr w:rsidR="00D25CFB" w14:paraId="6B65A75F" w14:textId="77777777" w:rsidTr="00D25CFB">
        <w:tc>
          <w:tcPr>
            <w:tcW w:w="2831" w:type="dxa"/>
          </w:tcPr>
          <w:p w14:paraId="61C33C26" w14:textId="6E6B2113" w:rsidR="00D25CFB" w:rsidRDefault="00433BF2" w:rsidP="004E081F">
            <w:pPr>
              <w:jc w:val="center"/>
              <w:rPr>
                <w:color w:val="000000" w:themeColor="text1"/>
                <w:sz w:val="32"/>
                <w:szCs w:val="32"/>
              </w:rPr>
            </w:pPr>
            <w:r>
              <w:rPr>
                <w:color w:val="000000" w:themeColor="text1"/>
                <w:sz w:val="32"/>
                <w:szCs w:val="32"/>
              </w:rPr>
              <w:t>2</w:t>
            </w:r>
          </w:p>
        </w:tc>
        <w:tc>
          <w:tcPr>
            <w:tcW w:w="2831" w:type="dxa"/>
          </w:tcPr>
          <w:p w14:paraId="19E76CED" w14:textId="1EE0D489" w:rsidR="00D25CFB" w:rsidRDefault="00433BF2" w:rsidP="004E081F">
            <w:pPr>
              <w:jc w:val="center"/>
              <w:rPr>
                <w:color w:val="000000" w:themeColor="text1"/>
                <w:sz w:val="32"/>
                <w:szCs w:val="32"/>
              </w:rPr>
            </w:pPr>
            <w:r>
              <w:rPr>
                <w:color w:val="000000" w:themeColor="text1"/>
                <w:sz w:val="32"/>
                <w:szCs w:val="32"/>
              </w:rPr>
              <w:t>2</w:t>
            </w:r>
          </w:p>
        </w:tc>
        <w:tc>
          <w:tcPr>
            <w:tcW w:w="2832" w:type="dxa"/>
          </w:tcPr>
          <w:p w14:paraId="5E4A81E2" w14:textId="102BCA1E" w:rsidR="00D25CFB" w:rsidRDefault="00D25CFB" w:rsidP="004E081F">
            <w:pPr>
              <w:jc w:val="center"/>
              <w:rPr>
                <w:color w:val="000000" w:themeColor="text1"/>
                <w:sz w:val="32"/>
                <w:szCs w:val="32"/>
              </w:rPr>
            </w:pPr>
            <w:r>
              <w:rPr>
                <w:color w:val="000000" w:themeColor="text1"/>
                <w:sz w:val="32"/>
                <w:szCs w:val="32"/>
              </w:rPr>
              <w:t>0</w:t>
            </w:r>
          </w:p>
        </w:tc>
      </w:tr>
    </w:tbl>
    <w:p w14:paraId="61301E40" w14:textId="7AF5A3E2" w:rsidR="00D25CFB" w:rsidRDefault="00D25CFB" w:rsidP="00642E35">
      <w:pPr>
        <w:rPr>
          <w:color w:val="000000" w:themeColor="text1"/>
          <w:sz w:val="32"/>
          <w:szCs w:val="32"/>
        </w:rPr>
      </w:pPr>
    </w:p>
    <w:p w14:paraId="3C9CFDC7" w14:textId="0749EE28" w:rsidR="00D25CFB" w:rsidRDefault="004E081F" w:rsidP="00642E35">
      <w:pPr>
        <w:rPr>
          <w:color w:val="FF0000"/>
          <w:sz w:val="32"/>
          <w:szCs w:val="32"/>
        </w:rPr>
      </w:pPr>
      <w:r>
        <w:rPr>
          <w:noProof/>
        </w:rPr>
        <w:lastRenderedPageBreak/>
        <w:drawing>
          <wp:inline distT="0" distB="0" distL="0" distR="0" wp14:anchorId="3A422C47" wp14:editId="10DF621D">
            <wp:extent cx="5400040" cy="1628775"/>
            <wp:effectExtent l="0" t="0" r="10160" b="9525"/>
            <wp:docPr id="1828474995"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B528C9" w14:textId="69EA735F" w:rsidR="00D03BD5" w:rsidRPr="009D355B" w:rsidRDefault="00D03BD5" w:rsidP="00642E35">
      <w:pPr>
        <w:rPr>
          <w:sz w:val="32"/>
          <w:szCs w:val="32"/>
        </w:rPr>
      </w:pPr>
    </w:p>
    <w:p w14:paraId="79255DC6" w14:textId="3429E0FD" w:rsidR="009D355B" w:rsidRPr="00583683" w:rsidRDefault="009D355B" w:rsidP="00642E35">
      <w:pPr>
        <w:rPr>
          <w:b/>
          <w:bCs/>
          <w:sz w:val="32"/>
          <w:szCs w:val="32"/>
        </w:rPr>
      </w:pPr>
      <w:r w:rsidRPr="00583683">
        <w:rPr>
          <w:b/>
          <w:bCs/>
          <w:sz w:val="32"/>
          <w:szCs w:val="32"/>
        </w:rPr>
        <w:t>Resultado Mediciones del Portal de Transparencia.</w:t>
      </w:r>
    </w:p>
    <w:p w14:paraId="4DFAD14D" w14:textId="7DFA5A77" w:rsidR="009D355B" w:rsidRDefault="009D355B" w:rsidP="00EB3E6C">
      <w:pPr>
        <w:jc w:val="both"/>
        <w:rPr>
          <w:sz w:val="32"/>
          <w:szCs w:val="32"/>
        </w:rPr>
      </w:pPr>
      <w:r>
        <w:rPr>
          <w:sz w:val="32"/>
          <w:szCs w:val="32"/>
        </w:rPr>
        <w:t xml:space="preserve">En </w:t>
      </w:r>
      <w:r w:rsidR="00EB3E6C">
        <w:rPr>
          <w:sz w:val="32"/>
          <w:szCs w:val="32"/>
        </w:rPr>
        <w:t xml:space="preserve">relación con </w:t>
      </w:r>
      <w:r>
        <w:rPr>
          <w:sz w:val="32"/>
          <w:szCs w:val="32"/>
        </w:rPr>
        <w:t xml:space="preserve">los </w:t>
      </w:r>
      <w:r w:rsidR="00EB3E6C">
        <w:rPr>
          <w:sz w:val="32"/>
          <w:szCs w:val="32"/>
        </w:rPr>
        <w:t xml:space="preserve">resultados de la evaluación del portal de transparencia en los </w:t>
      </w:r>
      <w:r>
        <w:rPr>
          <w:sz w:val="32"/>
          <w:szCs w:val="32"/>
        </w:rPr>
        <w:t>meses de enero a oct</w:t>
      </w:r>
      <w:r w:rsidR="00EB3E6C">
        <w:rPr>
          <w:sz w:val="32"/>
          <w:szCs w:val="32"/>
        </w:rPr>
        <w:t xml:space="preserve">ubre </w:t>
      </w:r>
      <w:r>
        <w:rPr>
          <w:sz w:val="32"/>
          <w:szCs w:val="32"/>
        </w:rPr>
        <w:t>este instituto alcanzó las siguientes calificaciones.</w:t>
      </w:r>
    </w:p>
    <w:tbl>
      <w:tblPr>
        <w:tblStyle w:val="Tablaconcuadrcula"/>
        <w:tblW w:w="0" w:type="auto"/>
        <w:tblInd w:w="-5" w:type="dxa"/>
        <w:tblLook w:val="04A0" w:firstRow="1" w:lastRow="0" w:firstColumn="1" w:lastColumn="0" w:noHBand="0" w:noVBand="1"/>
      </w:tblPr>
      <w:tblGrid>
        <w:gridCol w:w="4253"/>
        <w:gridCol w:w="2410"/>
      </w:tblGrid>
      <w:tr w:rsidR="009D355B" w14:paraId="023ECE9F" w14:textId="77777777" w:rsidTr="001C2402">
        <w:tc>
          <w:tcPr>
            <w:tcW w:w="4253" w:type="dxa"/>
          </w:tcPr>
          <w:p w14:paraId="23D8305E" w14:textId="4F210A53" w:rsidR="009D355B" w:rsidRPr="00EB3E6C" w:rsidRDefault="009D355B" w:rsidP="00642E35">
            <w:pPr>
              <w:rPr>
                <w:b/>
                <w:bCs/>
                <w:sz w:val="32"/>
                <w:szCs w:val="32"/>
              </w:rPr>
            </w:pPr>
            <w:r w:rsidRPr="00EB3E6C">
              <w:rPr>
                <w:b/>
                <w:bCs/>
                <w:sz w:val="32"/>
                <w:szCs w:val="32"/>
              </w:rPr>
              <w:t xml:space="preserve">Meses </w:t>
            </w:r>
          </w:p>
        </w:tc>
        <w:tc>
          <w:tcPr>
            <w:tcW w:w="2410" w:type="dxa"/>
          </w:tcPr>
          <w:p w14:paraId="37C456B2" w14:textId="007946B0" w:rsidR="009D355B" w:rsidRPr="00EB3E6C" w:rsidRDefault="009D355B" w:rsidP="00642E35">
            <w:pPr>
              <w:rPr>
                <w:b/>
                <w:bCs/>
                <w:sz w:val="32"/>
                <w:szCs w:val="32"/>
              </w:rPr>
            </w:pPr>
            <w:r w:rsidRPr="00EB3E6C">
              <w:rPr>
                <w:b/>
                <w:bCs/>
                <w:sz w:val="32"/>
                <w:szCs w:val="32"/>
              </w:rPr>
              <w:t>Calificaciones</w:t>
            </w:r>
          </w:p>
        </w:tc>
      </w:tr>
      <w:tr w:rsidR="009D355B" w14:paraId="2A7D3C7F" w14:textId="77777777" w:rsidTr="001C2402">
        <w:tc>
          <w:tcPr>
            <w:tcW w:w="4253" w:type="dxa"/>
          </w:tcPr>
          <w:p w14:paraId="3E896914" w14:textId="334F7795" w:rsidR="009D355B" w:rsidRDefault="009D355B" w:rsidP="00642E35">
            <w:pPr>
              <w:rPr>
                <w:sz w:val="32"/>
                <w:szCs w:val="32"/>
              </w:rPr>
            </w:pPr>
            <w:r>
              <w:rPr>
                <w:sz w:val="32"/>
                <w:szCs w:val="32"/>
              </w:rPr>
              <w:t xml:space="preserve">Enero </w:t>
            </w:r>
          </w:p>
        </w:tc>
        <w:tc>
          <w:tcPr>
            <w:tcW w:w="2410" w:type="dxa"/>
          </w:tcPr>
          <w:p w14:paraId="3890EA67" w14:textId="3A736E82" w:rsidR="009D355B" w:rsidRDefault="009D355B" w:rsidP="00642E35">
            <w:pPr>
              <w:rPr>
                <w:sz w:val="32"/>
                <w:szCs w:val="32"/>
              </w:rPr>
            </w:pPr>
            <w:r>
              <w:rPr>
                <w:sz w:val="32"/>
                <w:szCs w:val="32"/>
              </w:rPr>
              <w:t>100</w:t>
            </w:r>
          </w:p>
        </w:tc>
      </w:tr>
      <w:tr w:rsidR="009D355B" w14:paraId="23178BF2" w14:textId="77777777" w:rsidTr="001C2402">
        <w:tc>
          <w:tcPr>
            <w:tcW w:w="4253" w:type="dxa"/>
          </w:tcPr>
          <w:p w14:paraId="2186AE21" w14:textId="5870CC37" w:rsidR="009D355B" w:rsidRDefault="009D355B" w:rsidP="00642E35">
            <w:pPr>
              <w:rPr>
                <w:sz w:val="32"/>
                <w:szCs w:val="32"/>
              </w:rPr>
            </w:pPr>
            <w:bookmarkStart w:id="0" w:name="_Hlk187930673"/>
            <w:r>
              <w:rPr>
                <w:sz w:val="32"/>
                <w:szCs w:val="32"/>
              </w:rPr>
              <w:t>Febrero</w:t>
            </w:r>
          </w:p>
        </w:tc>
        <w:tc>
          <w:tcPr>
            <w:tcW w:w="2410" w:type="dxa"/>
          </w:tcPr>
          <w:p w14:paraId="46D2E13C" w14:textId="32A414C8" w:rsidR="009D355B" w:rsidRDefault="001C2402" w:rsidP="00642E35">
            <w:pPr>
              <w:rPr>
                <w:sz w:val="32"/>
                <w:szCs w:val="32"/>
              </w:rPr>
            </w:pPr>
            <w:r>
              <w:rPr>
                <w:sz w:val="32"/>
                <w:szCs w:val="32"/>
              </w:rPr>
              <w:t>99.79</w:t>
            </w:r>
          </w:p>
        </w:tc>
      </w:tr>
      <w:tr w:rsidR="009D355B" w14:paraId="19872344" w14:textId="77777777" w:rsidTr="001C2402">
        <w:tc>
          <w:tcPr>
            <w:tcW w:w="4253" w:type="dxa"/>
          </w:tcPr>
          <w:p w14:paraId="596091E3" w14:textId="5AFEA781" w:rsidR="009D355B" w:rsidRDefault="009D355B" w:rsidP="00642E35">
            <w:pPr>
              <w:rPr>
                <w:sz w:val="32"/>
                <w:szCs w:val="32"/>
              </w:rPr>
            </w:pPr>
            <w:r>
              <w:rPr>
                <w:sz w:val="32"/>
                <w:szCs w:val="32"/>
              </w:rPr>
              <w:t>Marzo</w:t>
            </w:r>
          </w:p>
        </w:tc>
        <w:tc>
          <w:tcPr>
            <w:tcW w:w="2410" w:type="dxa"/>
          </w:tcPr>
          <w:p w14:paraId="68C99C89" w14:textId="1B9701B3" w:rsidR="009D355B" w:rsidRDefault="001C2402" w:rsidP="00642E35">
            <w:pPr>
              <w:rPr>
                <w:sz w:val="32"/>
                <w:szCs w:val="32"/>
              </w:rPr>
            </w:pPr>
            <w:r>
              <w:rPr>
                <w:sz w:val="32"/>
                <w:szCs w:val="32"/>
              </w:rPr>
              <w:t>97.92</w:t>
            </w:r>
          </w:p>
        </w:tc>
      </w:tr>
      <w:tr w:rsidR="009D355B" w14:paraId="192CEA66" w14:textId="77777777" w:rsidTr="001C2402">
        <w:tc>
          <w:tcPr>
            <w:tcW w:w="4253" w:type="dxa"/>
          </w:tcPr>
          <w:p w14:paraId="7060A5F7" w14:textId="7AFB2EC1" w:rsidR="009D355B" w:rsidRDefault="009D355B" w:rsidP="00642E35">
            <w:pPr>
              <w:rPr>
                <w:sz w:val="32"/>
                <w:szCs w:val="32"/>
              </w:rPr>
            </w:pPr>
            <w:r>
              <w:rPr>
                <w:sz w:val="32"/>
                <w:szCs w:val="32"/>
              </w:rPr>
              <w:t>Abril</w:t>
            </w:r>
          </w:p>
        </w:tc>
        <w:tc>
          <w:tcPr>
            <w:tcW w:w="2410" w:type="dxa"/>
          </w:tcPr>
          <w:p w14:paraId="46CBF2C3" w14:textId="6D6070E1" w:rsidR="009D355B" w:rsidRDefault="001C2402" w:rsidP="00642E35">
            <w:pPr>
              <w:rPr>
                <w:sz w:val="32"/>
                <w:szCs w:val="32"/>
              </w:rPr>
            </w:pPr>
            <w:r>
              <w:rPr>
                <w:sz w:val="32"/>
                <w:szCs w:val="32"/>
              </w:rPr>
              <w:t>99.79</w:t>
            </w:r>
          </w:p>
        </w:tc>
      </w:tr>
      <w:tr w:rsidR="009D355B" w14:paraId="4023A999" w14:textId="77777777" w:rsidTr="001C2402">
        <w:tc>
          <w:tcPr>
            <w:tcW w:w="4253" w:type="dxa"/>
          </w:tcPr>
          <w:p w14:paraId="6B291070" w14:textId="590CFF50" w:rsidR="009D355B" w:rsidRDefault="009D355B" w:rsidP="00642E35">
            <w:pPr>
              <w:rPr>
                <w:sz w:val="32"/>
                <w:szCs w:val="32"/>
              </w:rPr>
            </w:pPr>
            <w:r>
              <w:rPr>
                <w:sz w:val="32"/>
                <w:szCs w:val="32"/>
              </w:rPr>
              <w:t>Mayo</w:t>
            </w:r>
          </w:p>
        </w:tc>
        <w:tc>
          <w:tcPr>
            <w:tcW w:w="2410" w:type="dxa"/>
          </w:tcPr>
          <w:p w14:paraId="21687A2C" w14:textId="3FEEB802" w:rsidR="009D355B" w:rsidRDefault="001C2402" w:rsidP="00642E35">
            <w:pPr>
              <w:rPr>
                <w:sz w:val="32"/>
                <w:szCs w:val="32"/>
              </w:rPr>
            </w:pPr>
            <w:r>
              <w:rPr>
                <w:sz w:val="32"/>
                <w:szCs w:val="32"/>
              </w:rPr>
              <w:t>99.78</w:t>
            </w:r>
          </w:p>
        </w:tc>
      </w:tr>
      <w:bookmarkEnd w:id="0"/>
      <w:tr w:rsidR="009D355B" w14:paraId="62A5C2C4" w14:textId="77777777" w:rsidTr="001C2402">
        <w:tc>
          <w:tcPr>
            <w:tcW w:w="4253" w:type="dxa"/>
          </w:tcPr>
          <w:p w14:paraId="3BF0DBEB" w14:textId="7FBD2681" w:rsidR="009D355B" w:rsidRDefault="009D355B" w:rsidP="00AB6CAC">
            <w:pPr>
              <w:rPr>
                <w:sz w:val="32"/>
                <w:szCs w:val="32"/>
              </w:rPr>
            </w:pPr>
            <w:r>
              <w:rPr>
                <w:sz w:val="32"/>
                <w:szCs w:val="32"/>
              </w:rPr>
              <w:t>Junio</w:t>
            </w:r>
          </w:p>
        </w:tc>
        <w:tc>
          <w:tcPr>
            <w:tcW w:w="2410" w:type="dxa"/>
          </w:tcPr>
          <w:p w14:paraId="22319174" w14:textId="099F828D" w:rsidR="009D355B" w:rsidRDefault="001C2402" w:rsidP="00AB6CAC">
            <w:pPr>
              <w:rPr>
                <w:sz w:val="32"/>
                <w:szCs w:val="32"/>
              </w:rPr>
            </w:pPr>
            <w:r>
              <w:rPr>
                <w:sz w:val="32"/>
                <w:szCs w:val="32"/>
              </w:rPr>
              <w:t>99.34</w:t>
            </w:r>
          </w:p>
        </w:tc>
      </w:tr>
      <w:tr w:rsidR="009D355B" w14:paraId="1A481918" w14:textId="77777777" w:rsidTr="001C2402">
        <w:tc>
          <w:tcPr>
            <w:tcW w:w="4253" w:type="dxa"/>
          </w:tcPr>
          <w:p w14:paraId="0C2DB8D1" w14:textId="586EB576" w:rsidR="009D355B" w:rsidRDefault="009D355B" w:rsidP="00AB6CAC">
            <w:pPr>
              <w:rPr>
                <w:sz w:val="32"/>
                <w:szCs w:val="32"/>
              </w:rPr>
            </w:pPr>
            <w:r>
              <w:rPr>
                <w:sz w:val="32"/>
                <w:szCs w:val="32"/>
              </w:rPr>
              <w:t>Julio</w:t>
            </w:r>
          </w:p>
        </w:tc>
        <w:tc>
          <w:tcPr>
            <w:tcW w:w="2410" w:type="dxa"/>
          </w:tcPr>
          <w:p w14:paraId="5117D4B6" w14:textId="758B034F" w:rsidR="009D355B" w:rsidRDefault="001C2402" w:rsidP="00AB6CAC">
            <w:pPr>
              <w:rPr>
                <w:sz w:val="32"/>
                <w:szCs w:val="32"/>
              </w:rPr>
            </w:pPr>
            <w:r>
              <w:rPr>
                <w:sz w:val="32"/>
                <w:szCs w:val="32"/>
              </w:rPr>
              <w:t>99.34</w:t>
            </w:r>
          </w:p>
        </w:tc>
      </w:tr>
      <w:tr w:rsidR="009D355B" w14:paraId="7662E9FB" w14:textId="77777777" w:rsidTr="001C2402">
        <w:tc>
          <w:tcPr>
            <w:tcW w:w="4253" w:type="dxa"/>
          </w:tcPr>
          <w:p w14:paraId="5AF7726D" w14:textId="52AA777F" w:rsidR="009D355B" w:rsidRDefault="009D355B" w:rsidP="00AB6CAC">
            <w:pPr>
              <w:rPr>
                <w:sz w:val="32"/>
                <w:szCs w:val="32"/>
              </w:rPr>
            </w:pPr>
            <w:r>
              <w:rPr>
                <w:sz w:val="32"/>
                <w:szCs w:val="32"/>
              </w:rPr>
              <w:t>Agosto</w:t>
            </w:r>
          </w:p>
        </w:tc>
        <w:tc>
          <w:tcPr>
            <w:tcW w:w="2410" w:type="dxa"/>
          </w:tcPr>
          <w:p w14:paraId="61EDAF17" w14:textId="464112FA" w:rsidR="009D355B" w:rsidRDefault="001C2402" w:rsidP="00AB6CAC">
            <w:pPr>
              <w:rPr>
                <w:sz w:val="32"/>
                <w:szCs w:val="32"/>
              </w:rPr>
            </w:pPr>
            <w:r>
              <w:rPr>
                <w:sz w:val="32"/>
                <w:szCs w:val="32"/>
              </w:rPr>
              <w:t>98.01</w:t>
            </w:r>
          </w:p>
        </w:tc>
      </w:tr>
      <w:tr w:rsidR="009D355B" w14:paraId="0DA38485" w14:textId="77777777" w:rsidTr="001C2402">
        <w:tc>
          <w:tcPr>
            <w:tcW w:w="4253" w:type="dxa"/>
          </w:tcPr>
          <w:p w14:paraId="4BB74036" w14:textId="21D5D82E" w:rsidR="009D355B" w:rsidRDefault="009D355B" w:rsidP="00AB6CAC">
            <w:pPr>
              <w:rPr>
                <w:sz w:val="32"/>
                <w:szCs w:val="32"/>
              </w:rPr>
            </w:pPr>
            <w:r>
              <w:rPr>
                <w:sz w:val="32"/>
                <w:szCs w:val="32"/>
              </w:rPr>
              <w:t>Septiembre</w:t>
            </w:r>
          </w:p>
        </w:tc>
        <w:tc>
          <w:tcPr>
            <w:tcW w:w="2410" w:type="dxa"/>
          </w:tcPr>
          <w:p w14:paraId="50274589" w14:textId="7AA1FD8C" w:rsidR="009D355B" w:rsidRDefault="001C2402" w:rsidP="00AB6CAC">
            <w:pPr>
              <w:rPr>
                <w:sz w:val="32"/>
                <w:szCs w:val="32"/>
              </w:rPr>
            </w:pPr>
            <w:r>
              <w:rPr>
                <w:sz w:val="32"/>
                <w:szCs w:val="32"/>
              </w:rPr>
              <w:t>93.92</w:t>
            </w:r>
          </w:p>
        </w:tc>
      </w:tr>
      <w:tr w:rsidR="009D355B" w14:paraId="4AA850A8" w14:textId="77777777" w:rsidTr="001C2402">
        <w:tc>
          <w:tcPr>
            <w:tcW w:w="4253" w:type="dxa"/>
          </w:tcPr>
          <w:p w14:paraId="53C66C1B" w14:textId="4BD88D92" w:rsidR="009D355B" w:rsidRDefault="009D355B" w:rsidP="00AB6CAC">
            <w:pPr>
              <w:rPr>
                <w:sz w:val="32"/>
                <w:szCs w:val="32"/>
              </w:rPr>
            </w:pPr>
            <w:r>
              <w:rPr>
                <w:sz w:val="32"/>
                <w:szCs w:val="32"/>
              </w:rPr>
              <w:t>Octubre</w:t>
            </w:r>
          </w:p>
        </w:tc>
        <w:tc>
          <w:tcPr>
            <w:tcW w:w="2410" w:type="dxa"/>
          </w:tcPr>
          <w:p w14:paraId="7E2E20AC" w14:textId="6E37D209" w:rsidR="009D355B" w:rsidRDefault="001C2402" w:rsidP="00AB6CAC">
            <w:pPr>
              <w:rPr>
                <w:sz w:val="32"/>
                <w:szCs w:val="32"/>
              </w:rPr>
            </w:pPr>
            <w:r>
              <w:rPr>
                <w:sz w:val="32"/>
                <w:szCs w:val="32"/>
              </w:rPr>
              <w:t>99.34</w:t>
            </w:r>
          </w:p>
        </w:tc>
      </w:tr>
      <w:tr w:rsidR="009D355B" w14:paraId="037C46D2" w14:textId="77777777" w:rsidTr="001C2402">
        <w:tc>
          <w:tcPr>
            <w:tcW w:w="4253" w:type="dxa"/>
          </w:tcPr>
          <w:p w14:paraId="63630B50" w14:textId="086D8A49" w:rsidR="009D355B" w:rsidRDefault="009D355B" w:rsidP="00AB6CAC">
            <w:pPr>
              <w:rPr>
                <w:sz w:val="32"/>
                <w:szCs w:val="32"/>
              </w:rPr>
            </w:pPr>
            <w:bookmarkStart w:id="1" w:name="_Hlk187931274"/>
          </w:p>
        </w:tc>
        <w:tc>
          <w:tcPr>
            <w:tcW w:w="2410" w:type="dxa"/>
          </w:tcPr>
          <w:p w14:paraId="69B5EE1A" w14:textId="77777777" w:rsidR="009D355B" w:rsidRDefault="009D355B" w:rsidP="00AB6CAC">
            <w:pPr>
              <w:rPr>
                <w:sz w:val="32"/>
                <w:szCs w:val="32"/>
              </w:rPr>
            </w:pPr>
          </w:p>
        </w:tc>
      </w:tr>
      <w:bookmarkEnd w:id="1"/>
    </w:tbl>
    <w:p w14:paraId="4AF0CD09" w14:textId="759FF5BE" w:rsidR="00D03BD5" w:rsidRDefault="00D03BD5" w:rsidP="00642E35">
      <w:pPr>
        <w:rPr>
          <w:color w:val="FF0000"/>
          <w:sz w:val="32"/>
          <w:szCs w:val="32"/>
        </w:rPr>
      </w:pPr>
    </w:p>
    <w:p w14:paraId="1CA2BAEF" w14:textId="7A033996" w:rsidR="00D03BD5" w:rsidRDefault="00D03BD5" w:rsidP="00642E35">
      <w:pPr>
        <w:rPr>
          <w:b/>
          <w:bCs/>
          <w:sz w:val="32"/>
          <w:szCs w:val="32"/>
        </w:rPr>
      </w:pPr>
      <w:r>
        <w:rPr>
          <w:b/>
          <w:bCs/>
          <w:sz w:val="32"/>
          <w:szCs w:val="32"/>
        </w:rPr>
        <w:t>Asistencia a Actividades Coordinadas por DIGEIG.</w:t>
      </w:r>
    </w:p>
    <w:p w14:paraId="68C53B02" w14:textId="1C9C58EF" w:rsidR="00D03BD5" w:rsidRPr="008F6E3D" w:rsidRDefault="008F6E3D" w:rsidP="00322F1C">
      <w:pPr>
        <w:jc w:val="both"/>
        <w:rPr>
          <w:sz w:val="32"/>
          <w:szCs w:val="32"/>
        </w:rPr>
      </w:pPr>
      <w:r w:rsidRPr="008F6E3D">
        <w:rPr>
          <w:sz w:val="32"/>
          <w:szCs w:val="32"/>
        </w:rPr>
        <w:t>El 22 de marzo asistimos a la actividad</w:t>
      </w:r>
      <w:r w:rsidR="00820E4A">
        <w:rPr>
          <w:sz w:val="32"/>
          <w:szCs w:val="32"/>
        </w:rPr>
        <w:t xml:space="preserve"> de presentación </w:t>
      </w:r>
      <w:r w:rsidRPr="008F6E3D">
        <w:rPr>
          <w:sz w:val="32"/>
          <w:szCs w:val="32"/>
        </w:rPr>
        <w:t>del segundo Plan de Acción de Apertura de da</w:t>
      </w:r>
      <w:r w:rsidR="00B765A5">
        <w:rPr>
          <w:sz w:val="32"/>
          <w:szCs w:val="32"/>
        </w:rPr>
        <w:t>tos.</w:t>
      </w:r>
    </w:p>
    <w:p w14:paraId="4466755D" w14:textId="26A2FC10" w:rsidR="00D03BD5" w:rsidRDefault="00EB01CB" w:rsidP="00322F1C">
      <w:pPr>
        <w:jc w:val="both"/>
        <w:rPr>
          <w:sz w:val="32"/>
          <w:szCs w:val="32"/>
        </w:rPr>
      </w:pPr>
      <w:r>
        <w:rPr>
          <w:sz w:val="32"/>
          <w:szCs w:val="32"/>
        </w:rPr>
        <w:t>El 16 de abril participamos de la presentación del Modelo de Integridad que tuvo lugar en el aula Magna</w:t>
      </w:r>
      <w:r w:rsidR="004E081F">
        <w:rPr>
          <w:sz w:val="32"/>
          <w:szCs w:val="32"/>
        </w:rPr>
        <w:t xml:space="preserve"> de la Universidad Autónoma de Santo Domingo.</w:t>
      </w:r>
    </w:p>
    <w:p w14:paraId="28286E09" w14:textId="682DF033" w:rsidR="00EB01CB" w:rsidRDefault="00EB01CB" w:rsidP="004E081F">
      <w:pPr>
        <w:jc w:val="both"/>
        <w:rPr>
          <w:sz w:val="32"/>
          <w:szCs w:val="32"/>
        </w:rPr>
      </w:pPr>
      <w:r>
        <w:rPr>
          <w:sz w:val="32"/>
          <w:szCs w:val="32"/>
        </w:rPr>
        <w:lastRenderedPageBreak/>
        <w:t xml:space="preserve">El 22 de abril asistimos a la </w:t>
      </w:r>
      <w:r w:rsidR="004E081F">
        <w:rPr>
          <w:sz w:val="32"/>
          <w:szCs w:val="32"/>
        </w:rPr>
        <w:t xml:space="preserve">actividad </w:t>
      </w:r>
      <w:r>
        <w:rPr>
          <w:sz w:val="32"/>
          <w:szCs w:val="32"/>
        </w:rPr>
        <w:t>de la semana de la Ética celebrada en el Pabellón de la Fama, en dicho evento fueron reconocidas las Comisiones de Integridad que se destacaron por realizar un trabajo digno en sus instituciones</w:t>
      </w:r>
      <w:r w:rsidR="004E081F">
        <w:rPr>
          <w:sz w:val="32"/>
          <w:szCs w:val="32"/>
        </w:rPr>
        <w:t>, entre las reconocidas está el ISFODOSU.</w:t>
      </w:r>
    </w:p>
    <w:p w14:paraId="00B1DE03" w14:textId="74F1DBBE" w:rsidR="002667E8" w:rsidRDefault="002667E8" w:rsidP="004E081F">
      <w:pPr>
        <w:jc w:val="both"/>
        <w:rPr>
          <w:sz w:val="32"/>
          <w:szCs w:val="32"/>
        </w:rPr>
      </w:pPr>
      <w:r>
        <w:rPr>
          <w:sz w:val="32"/>
          <w:szCs w:val="32"/>
        </w:rPr>
        <w:t xml:space="preserve">También </w:t>
      </w:r>
      <w:r w:rsidR="00CB7618">
        <w:rPr>
          <w:sz w:val="32"/>
          <w:szCs w:val="32"/>
        </w:rPr>
        <w:t xml:space="preserve">participamos de </w:t>
      </w:r>
      <w:r>
        <w:rPr>
          <w:sz w:val="32"/>
          <w:szCs w:val="32"/>
        </w:rPr>
        <w:t>las siguientes actividades coordinadas por DIGEIG: Conferencia Gobierno Abierto y Transparencia, Transparencia en Proceso: perspectivas globales sobre el derecho a saber, Gobierno Abierto: La historia de una Alianza entre Gobierno y Sociedad.</w:t>
      </w:r>
    </w:p>
    <w:p w14:paraId="32740690" w14:textId="410CEA4F" w:rsidR="008D7D7D" w:rsidRDefault="008D7D7D" w:rsidP="004E081F">
      <w:pPr>
        <w:jc w:val="both"/>
        <w:rPr>
          <w:sz w:val="32"/>
          <w:szCs w:val="32"/>
        </w:rPr>
      </w:pPr>
      <w:r>
        <w:rPr>
          <w:sz w:val="32"/>
          <w:szCs w:val="32"/>
        </w:rPr>
        <w:t xml:space="preserve">Como parte de la relación entre instituciones de la misma dependencia asistimos a una actividad coordinada por la CIGCN de INABIMA, </w:t>
      </w:r>
      <w:r w:rsidR="002667E8">
        <w:rPr>
          <w:sz w:val="32"/>
          <w:szCs w:val="32"/>
        </w:rPr>
        <w:t xml:space="preserve">el día 25 de abril </w:t>
      </w:r>
      <w:r>
        <w:rPr>
          <w:sz w:val="32"/>
          <w:szCs w:val="32"/>
        </w:rPr>
        <w:t>en</w:t>
      </w:r>
      <w:r w:rsidR="002667E8">
        <w:rPr>
          <w:sz w:val="32"/>
          <w:szCs w:val="32"/>
        </w:rPr>
        <w:t xml:space="preserve"> el marco de</w:t>
      </w:r>
      <w:r>
        <w:rPr>
          <w:sz w:val="32"/>
          <w:szCs w:val="32"/>
        </w:rPr>
        <w:t xml:space="preserve"> la celebración de la semana de la Ética.</w:t>
      </w:r>
    </w:p>
    <w:p w14:paraId="0C423409" w14:textId="618AA8A9" w:rsidR="008D7D7D" w:rsidRDefault="008D7D7D" w:rsidP="004E081F">
      <w:pPr>
        <w:jc w:val="both"/>
        <w:rPr>
          <w:sz w:val="32"/>
          <w:szCs w:val="32"/>
        </w:rPr>
      </w:pPr>
      <w:r>
        <w:rPr>
          <w:sz w:val="32"/>
          <w:szCs w:val="32"/>
        </w:rPr>
        <w:t>En el ISFODOSU par</w:t>
      </w:r>
      <w:r w:rsidR="00494645">
        <w:rPr>
          <w:sz w:val="32"/>
          <w:szCs w:val="32"/>
        </w:rPr>
        <w:t>ti</w:t>
      </w:r>
      <w:r>
        <w:rPr>
          <w:sz w:val="32"/>
          <w:szCs w:val="32"/>
        </w:rPr>
        <w:t>cipamos e</w:t>
      </w:r>
      <w:r w:rsidR="00494645">
        <w:rPr>
          <w:sz w:val="32"/>
          <w:szCs w:val="32"/>
        </w:rPr>
        <w:t>n</w:t>
      </w:r>
      <w:r>
        <w:rPr>
          <w:sz w:val="32"/>
          <w:szCs w:val="32"/>
        </w:rPr>
        <w:t xml:space="preserve"> la coordinación de la </w:t>
      </w:r>
      <w:r w:rsidR="00494645">
        <w:rPr>
          <w:sz w:val="32"/>
          <w:szCs w:val="32"/>
        </w:rPr>
        <w:t xml:space="preserve">actividad por motivo de la semana de Ética, la cual se llevó a cabo con </w:t>
      </w:r>
      <w:r w:rsidR="004E081F">
        <w:rPr>
          <w:sz w:val="32"/>
          <w:szCs w:val="32"/>
        </w:rPr>
        <w:t>una</w:t>
      </w:r>
      <w:r w:rsidR="00E54864">
        <w:rPr>
          <w:sz w:val="32"/>
          <w:szCs w:val="32"/>
        </w:rPr>
        <w:t xml:space="preserve"> </w:t>
      </w:r>
      <w:r>
        <w:rPr>
          <w:sz w:val="32"/>
          <w:szCs w:val="32"/>
        </w:rPr>
        <w:t xml:space="preserve">Conferencia, </w:t>
      </w:r>
      <w:r w:rsidR="00494645">
        <w:rPr>
          <w:sz w:val="32"/>
          <w:szCs w:val="32"/>
        </w:rPr>
        <w:t xml:space="preserve">titulada “Ética, </w:t>
      </w:r>
      <w:r>
        <w:rPr>
          <w:sz w:val="32"/>
          <w:szCs w:val="32"/>
        </w:rPr>
        <w:t>Compromiso y Responsabilidad-</w:t>
      </w:r>
      <w:r w:rsidR="00494645">
        <w:rPr>
          <w:sz w:val="32"/>
          <w:szCs w:val="32"/>
        </w:rPr>
        <w:t>CIGCN, en fecha 26 de abril.</w:t>
      </w:r>
    </w:p>
    <w:p w14:paraId="0BE9F0E1" w14:textId="22DA6984" w:rsidR="004071A3" w:rsidRDefault="00494645" w:rsidP="004E081F">
      <w:pPr>
        <w:jc w:val="both"/>
        <w:rPr>
          <w:color w:val="FF0000"/>
          <w:sz w:val="32"/>
          <w:szCs w:val="32"/>
        </w:rPr>
      </w:pPr>
      <w:r>
        <w:rPr>
          <w:sz w:val="32"/>
          <w:szCs w:val="32"/>
        </w:rPr>
        <w:t xml:space="preserve">El día 3 de mayo participamos en el taller Gestión de Riesgo, en modalidad virtual, </w:t>
      </w:r>
      <w:r w:rsidR="004071A3">
        <w:rPr>
          <w:sz w:val="32"/>
          <w:szCs w:val="32"/>
        </w:rPr>
        <w:t xml:space="preserve">impartido por la profesora </w:t>
      </w:r>
      <w:r w:rsidR="004071A3" w:rsidRPr="00E54864">
        <w:rPr>
          <w:sz w:val="32"/>
          <w:szCs w:val="32"/>
        </w:rPr>
        <w:t>Joselin</w:t>
      </w:r>
      <w:r w:rsidR="004E081F" w:rsidRPr="00E54864">
        <w:rPr>
          <w:sz w:val="32"/>
          <w:szCs w:val="32"/>
        </w:rPr>
        <w:t xml:space="preserve"> Sosa, </w:t>
      </w:r>
      <w:r w:rsidR="004071A3" w:rsidRPr="00E54864">
        <w:rPr>
          <w:sz w:val="32"/>
          <w:szCs w:val="32"/>
        </w:rPr>
        <w:t>del INAP.</w:t>
      </w:r>
    </w:p>
    <w:p w14:paraId="756C5B5E" w14:textId="41828058" w:rsidR="00820E4A" w:rsidRDefault="007A29F4" w:rsidP="004E081F">
      <w:pPr>
        <w:jc w:val="both"/>
        <w:rPr>
          <w:sz w:val="32"/>
          <w:szCs w:val="32"/>
        </w:rPr>
      </w:pPr>
      <w:r>
        <w:rPr>
          <w:sz w:val="32"/>
          <w:szCs w:val="32"/>
        </w:rPr>
        <w:t xml:space="preserve">En cuanto a las actividades propias de esta oficina </w:t>
      </w:r>
      <w:r w:rsidR="002667E8">
        <w:rPr>
          <w:sz w:val="32"/>
          <w:szCs w:val="32"/>
        </w:rPr>
        <w:t>I</w:t>
      </w:r>
      <w:r w:rsidR="00820E4A">
        <w:rPr>
          <w:sz w:val="32"/>
          <w:szCs w:val="32"/>
        </w:rPr>
        <w:t>mparti</w:t>
      </w:r>
      <w:r>
        <w:rPr>
          <w:sz w:val="32"/>
          <w:szCs w:val="32"/>
        </w:rPr>
        <w:t>mos</w:t>
      </w:r>
      <w:r w:rsidR="00820E4A">
        <w:rPr>
          <w:sz w:val="32"/>
          <w:szCs w:val="32"/>
        </w:rPr>
        <w:t xml:space="preserve"> 5 charlas a los nuevos colaboradores de la institución de oficina y de estratos simplificado, sobre las funciones de la Oficina de Libre Acceso a la Información</w:t>
      </w:r>
      <w:r w:rsidR="002667E8">
        <w:rPr>
          <w:sz w:val="32"/>
          <w:szCs w:val="32"/>
        </w:rPr>
        <w:t xml:space="preserve"> con la participación de </w:t>
      </w:r>
      <w:r w:rsidR="00F4781B">
        <w:rPr>
          <w:sz w:val="32"/>
          <w:szCs w:val="32"/>
        </w:rPr>
        <w:t>70 colaboradores.</w:t>
      </w:r>
    </w:p>
    <w:p w14:paraId="40CA0B89" w14:textId="77777777" w:rsidR="004E081F" w:rsidRDefault="004E081F" w:rsidP="004E081F">
      <w:pPr>
        <w:jc w:val="both"/>
        <w:rPr>
          <w:sz w:val="32"/>
          <w:szCs w:val="32"/>
        </w:rPr>
      </w:pPr>
    </w:p>
    <w:p w14:paraId="26FC22E6" w14:textId="77777777" w:rsidR="004E081F" w:rsidRDefault="004E081F" w:rsidP="004E081F">
      <w:pPr>
        <w:jc w:val="both"/>
        <w:rPr>
          <w:color w:val="FF0000"/>
          <w:sz w:val="32"/>
          <w:szCs w:val="32"/>
        </w:rPr>
      </w:pPr>
    </w:p>
    <w:p w14:paraId="749194D6" w14:textId="1007D8F2" w:rsidR="000922DC" w:rsidRDefault="000922DC" w:rsidP="00642E35">
      <w:pPr>
        <w:rPr>
          <w:color w:val="FF0000"/>
          <w:sz w:val="32"/>
          <w:szCs w:val="32"/>
        </w:rPr>
      </w:pPr>
    </w:p>
    <w:p w14:paraId="181A717E" w14:textId="77777777" w:rsidR="000922DC" w:rsidRPr="000922DC" w:rsidRDefault="000922DC" w:rsidP="00642E35">
      <w:pPr>
        <w:rPr>
          <w:color w:val="FF0000"/>
          <w:sz w:val="32"/>
          <w:szCs w:val="32"/>
        </w:rPr>
      </w:pPr>
    </w:p>
    <w:sectPr w:rsidR="000922DC" w:rsidRPr="000922DC" w:rsidSect="004E081F">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CC22" w14:textId="77777777" w:rsidR="00195BCB" w:rsidRDefault="00195BCB" w:rsidP="007A0F12">
      <w:pPr>
        <w:spacing w:after="0" w:line="240" w:lineRule="auto"/>
      </w:pPr>
      <w:r>
        <w:separator/>
      </w:r>
    </w:p>
  </w:endnote>
  <w:endnote w:type="continuationSeparator" w:id="0">
    <w:p w14:paraId="658918F7" w14:textId="77777777" w:rsidR="00195BCB" w:rsidRDefault="00195BCB" w:rsidP="007A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6C11" w14:textId="77777777" w:rsidR="007A0F12" w:rsidRDefault="007A0F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951092"/>
      <w:docPartObj>
        <w:docPartGallery w:val="Page Numbers (Bottom of Page)"/>
        <w:docPartUnique/>
      </w:docPartObj>
    </w:sdtPr>
    <w:sdtContent>
      <w:p w14:paraId="67A990C4" w14:textId="43CB5FF5" w:rsidR="007A0F12" w:rsidRDefault="007A0F12">
        <w:pPr>
          <w:pStyle w:val="Piedepgina"/>
          <w:jc w:val="center"/>
        </w:pPr>
        <w:r>
          <w:fldChar w:fldCharType="begin"/>
        </w:r>
        <w:r>
          <w:instrText>PAGE   \* MERGEFORMAT</w:instrText>
        </w:r>
        <w:r>
          <w:fldChar w:fldCharType="separate"/>
        </w:r>
        <w:r>
          <w:rPr>
            <w:lang w:val="es-ES"/>
          </w:rPr>
          <w:t>2</w:t>
        </w:r>
        <w:r>
          <w:fldChar w:fldCharType="end"/>
        </w:r>
      </w:p>
    </w:sdtContent>
  </w:sdt>
  <w:p w14:paraId="240ECEED" w14:textId="77777777" w:rsidR="007A0F12" w:rsidRDefault="007A0F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2ECF" w14:textId="77777777" w:rsidR="007A0F12" w:rsidRDefault="007A0F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5859" w14:textId="77777777" w:rsidR="00195BCB" w:rsidRDefault="00195BCB" w:rsidP="007A0F12">
      <w:pPr>
        <w:spacing w:after="0" w:line="240" w:lineRule="auto"/>
      </w:pPr>
      <w:r>
        <w:separator/>
      </w:r>
    </w:p>
  </w:footnote>
  <w:footnote w:type="continuationSeparator" w:id="0">
    <w:p w14:paraId="5A18012D" w14:textId="77777777" w:rsidR="00195BCB" w:rsidRDefault="00195BCB" w:rsidP="007A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C2F0" w14:textId="77777777" w:rsidR="007A0F12" w:rsidRDefault="007A0F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931C" w14:textId="77777777" w:rsidR="007A0F12" w:rsidRDefault="007A0F1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053B" w14:textId="77777777" w:rsidR="007A0F12" w:rsidRDefault="007A0F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5"/>
    <w:rsid w:val="000922DC"/>
    <w:rsid w:val="0017576F"/>
    <w:rsid w:val="00195BCB"/>
    <w:rsid w:val="001C2402"/>
    <w:rsid w:val="001F67D0"/>
    <w:rsid w:val="00214E79"/>
    <w:rsid w:val="00216ACA"/>
    <w:rsid w:val="002667E8"/>
    <w:rsid w:val="00322F1C"/>
    <w:rsid w:val="004071A3"/>
    <w:rsid w:val="00433BF2"/>
    <w:rsid w:val="00494645"/>
    <w:rsid w:val="004E081F"/>
    <w:rsid w:val="00583683"/>
    <w:rsid w:val="005A0BB0"/>
    <w:rsid w:val="0061042F"/>
    <w:rsid w:val="00642E35"/>
    <w:rsid w:val="007649A2"/>
    <w:rsid w:val="007823C7"/>
    <w:rsid w:val="007A0F12"/>
    <w:rsid w:val="007A29F4"/>
    <w:rsid w:val="00820E4A"/>
    <w:rsid w:val="00832DCB"/>
    <w:rsid w:val="008631A1"/>
    <w:rsid w:val="008766CA"/>
    <w:rsid w:val="008D7D7D"/>
    <w:rsid w:val="008F6E3D"/>
    <w:rsid w:val="009A1644"/>
    <w:rsid w:val="009D355B"/>
    <w:rsid w:val="009F62B3"/>
    <w:rsid w:val="00B471C3"/>
    <w:rsid w:val="00B649AF"/>
    <w:rsid w:val="00B765A5"/>
    <w:rsid w:val="00BF5437"/>
    <w:rsid w:val="00CB7618"/>
    <w:rsid w:val="00CC5BCF"/>
    <w:rsid w:val="00D03BD5"/>
    <w:rsid w:val="00D25CFB"/>
    <w:rsid w:val="00E14D5F"/>
    <w:rsid w:val="00E54864"/>
    <w:rsid w:val="00E860EB"/>
    <w:rsid w:val="00EB01CB"/>
    <w:rsid w:val="00EB3E6C"/>
    <w:rsid w:val="00F4781B"/>
    <w:rsid w:val="00FD540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FF8C"/>
  <w15:chartTrackingRefBased/>
  <w15:docId w15:val="{02539876-D82B-4008-89A8-7EF5B2A9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0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0F12"/>
  </w:style>
  <w:style w:type="paragraph" w:styleId="Piedepgina">
    <w:name w:val="footer"/>
    <w:basedOn w:val="Normal"/>
    <w:link w:val="PiedepginaCar"/>
    <w:uiPriority w:val="99"/>
    <w:unhideWhenUsed/>
    <w:rsid w:val="007A0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tania%20Cordero\Desktop\Estad&#237;sticas%20y%20Balance%20de%20gesti&#243;n%20OAI%20enero-diciembr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100"/>
              <a:t>Consolidado</a:t>
            </a:r>
            <a:r>
              <a:rPr lang="es-DO" sz="1100" baseline="0"/>
              <a:t> estadísticas y balance de gestión OAI enero-diciembre 2024</a:t>
            </a:r>
            <a:endParaRPr lang="es-DO"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'[Estadísticas y Balance de gestión OAI enero-diciembre 2024.xlsx]2023'!$A$9</c:f>
              <c:strCache>
                <c:ptCount val="1"/>
                <c:pt idx="0">
                  <c:v>Fisica</c:v>
                </c:pt>
              </c:strCache>
            </c:strRef>
          </c:tx>
          <c:spPr>
            <a:solidFill>
              <a:schemeClr val="accent1"/>
            </a:solidFill>
            <a:ln>
              <a:noFill/>
            </a:ln>
            <a:effectLst/>
          </c:spPr>
          <c:invertIfNegative val="0"/>
          <c:cat>
            <c:strRef>
              <c:f>'[Estadísticas y Balance de gestión OAI enero-diciembre 2024.xlsx]2023'!$B$8:$F$8</c:f>
              <c:strCache>
                <c:ptCount val="5"/>
                <c:pt idx="0">
                  <c:v>Recibidas </c:v>
                </c:pt>
                <c:pt idx="1">
                  <c:v>Pendientes</c:v>
                </c:pt>
                <c:pt idx="2">
                  <c:v>Resueltas ≤15 días</c:v>
                </c:pt>
                <c:pt idx="3">
                  <c:v>Rechazadas </c:v>
                </c:pt>
                <c:pt idx="4">
                  <c:v>Cambiadas a otra institución</c:v>
                </c:pt>
              </c:strCache>
            </c:strRef>
          </c:cat>
          <c:val>
            <c:numRef>
              <c:f>'[Estadísticas y Balance de gestión OAI enero-diciembre 2024.xlsx]2023'!$B$9:$F$9</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FD9E-42FA-A745-125281DCFAFA}"/>
            </c:ext>
          </c:extLst>
        </c:ser>
        <c:ser>
          <c:idx val="1"/>
          <c:order val="1"/>
          <c:tx>
            <c:strRef>
              <c:f>'[Estadísticas y Balance de gestión OAI enero-diciembre 2024.xlsx]2023'!$A$10</c:f>
              <c:strCache>
                <c:ptCount val="1"/>
                <c:pt idx="0">
                  <c:v>Portal SAIP</c:v>
                </c:pt>
              </c:strCache>
            </c:strRef>
          </c:tx>
          <c:spPr>
            <a:solidFill>
              <a:schemeClr val="accent2"/>
            </a:solidFill>
            <a:ln>
              <a:noFill/>
            </a:ln>
            <a:effectLst/>
          </c:spPr>
          <c:invertIfNegative val="0"/>
          <c:cat>
            <c:strRef>
              <c:f>'[Estadísticas y Balance de gestión OAI enero-diciembre 2024.xlsx]2023'!$B$8:$F$8</c:f>
              <c:strCache>
                <c:ptCount val="5"/>
                <c:pt idx="0">
                  <c:v>Recibidas </c:v>
                </c:pt>
                <c:pt idx="1">
                  <c:v>Pendientes</c:v>
                </c:pt>
                <c:pt idx="2">
                  <c:v>Resueltas ≤15 días</c:v>
                </c:pt>
                <c:pt idx="3">
                  <c:v>Rechazadas </c:v>
                </c:pt>
                <c:pt idx="4">
                  <c:v>Cambiadas a otra institución</c:v>
                </c:pt>
              </c:strCache>
            </c:strRef>
          </c:cat>
          <c:val>
            <c:numRef>
              <c:f>'[Estadísticas y Balance de gestión OAI enero-diciembre 2024.xlsx]2023'!$B$10:$F$10</c:f>
              <c:numCache>
                <c:formatCode>General</c:formatCode>
                <c:ptCount val="5"/>
                <c:pt idx="0">
                  <c:v>19</c:v>
                </c:pt>
                <c:pt idx="1">
                  <c:v>0</c:v>
                </c:pt>
                <c:pt idx="2">
                  <c:v>19</c:v>
                </c:pt>
                <c:pt idx="3">
                  <c:v>1</c:v>
                </c:pt>
                <c:pt idx="4">
                  <c:v>0</c:v>
                </c:pt>
              </c:numCache>
            </c:numRef>
          </c:val>
          <c:extLst>
            <c:ext xmlns:c16="http://schemas.microsoft.com/office/drawing/2014/chart" uri="{C3380CC4-5D6E-409C-BE32-E72D297353CC}">
              <c16:uniqueId val="{00000001-FD9E-42FA-A745-125281DCFAFA}"/>
            </c:ext>
          </c:extLst>
        </c:ser>
        <c:ser>
          <c:idx val="2"/>
          <c:order val="2"/>
          <c:tx>
            <c:strRef>
              <c:f>'[Estadísticas y Balance de gestión OAI enero-diciembre 2024.xlsx]2023'!$A$11</c:f>
              <c:strCache>
                <c:ptCount val="1"/>
                <c:pt idx="0">
                  <c:v>311</c:v>
                </c:pt>
              </c:strCache>
            </c:strRef>
          </c:tx>
          <c:spPr>
            <a:solidFill>
              <a:schemeClr val="accent3"/>
            </a:solidFill>
            <a:ln>
              <a:noFill/>
            </a:ln>
            <a:effectLst/>
          </c:spPr>
          <c:invertIfNegative val="0"/>
          <c:cat>
            <c:strRef>
              <c:f>'[Estadísticas y Balance de gestión OAI enero-diciembre 2024.xlsx]2023'!$B$8:$F$8</c:f>
              <c:strCache>
                <c:ptCount val="5"/>
                <c:pt idx="0">
                  <c:v>Recibidas </c:v>
                </c:pt>
                <c:pt idx="1">
                  <c:v>Pendientes</c:v>
                </c:pt>
                <c:pt idx="2">
                  <c:v>Resueltas ≤15 días</c:v>
                </c:pt>
                <c:pt idx="3">
                  <c:v>Rechazadas </c:v>
                </c:pt>
                <c:pt idx="4">
                  <c:v>Cambiadas a otra institución</c:v>
                </c:pt>
              </c:strCache>
            </c:strRef>
          </c:cat>
          <c:val>
            <c:numRef>
              <c:f>'[Estadísticas y Balance de gestión OAI enero-diciembre 2024.xlsx]2023'!$B$11:$F$11</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FD9E-42FA-A745-125281DCFAFA}"/>
            </c:ext>
          </c:extLst>
        </c:ser>
        <c:ser>
          <c:idx val="3"/>
          <c:order val="3"/>
          <c:tx>
            <c:strRef>
              <c:f>'[Estadísticas y Balance de gestión OAI enero-diciembre 2024.xlsx]2023'!$A$12</c:f>
              <c:strCache>
                <c:ptCount val="1"/>
                <c:pt idx="0">
                  <c:v>Otra</c:v>
                </c:pt>
              </c:strCache>
            </c:strRef>
          </c:tx>
          <c:spPr>
            <a:solidFill>
              <a:schemeClr val="accent4"/>
            </a:solidFill>
            <a:ln>
              <a:noFill/>
            </a:ln>
            <a:effectLst/>
          </c:spPr>
          <c:invertIfNegative val="0"/>
          <c:cat>
            <c:strRef>
              <c:f>'[Estadísticas y Balance de gestión OAI enero-diciembre 2024.xlsx]2023'!$B$8:$F$8</c:f>
              <c:strCache>
                <c:ptCount val="5"/>
                <c:pt idx="0">
                  <c:v>Recibidas </c:v>
                </c:pt>
                <c:pt idx="1">
                  <c:v>Pendientes</c:v>
                </c:pt>
                <c:pt idx="2">
                  <c:v>Resueltas ≤15 días</c:v>
                </c:pt>
                <c:pt idx="3">
                  <c:v>Rechazadas </c:v>
                </c:pt>
                <c:pt idx="4">
                  <c:v>Cambiadas a otra institución</c:v>
                </c:pt>
              </c:strCache>
            </c:strRef>
          </c:cat>
          <c:val>
            <c:numRef>
              <c:f>'[Estadísticas y Balance de gestión OAI enero-diciembre 2024.xlsx]2023'!$B$12:$F$12</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FD9E-42FA-A745-125281DCFAFA}"/>
            </c:ext>
          </c:extLst>
        </c:ser>
        <c:ser>
          <c:idx val="4"/>
          <c:order val="4"/>
          <c:tx>
            <c:strRef>
              <c:f>'[Estadísticas y Balance de gestión OAI enero-diciembre 2024.xlsx]2023'!$A$13</c:f>
              <c:strCache>
                <c:ptCount val="1"/>
                <c:pt idx="0">
                  <c:v>Total</c:v>
                </c:pt>
              </c:strCache>
            </c:strRef>
          </c:tx>
          <c:spPr>
            <a:solidFill>
              <a:schemeClr val="accent5"/>
            </a:solidFill>
            <a:ln>
              <a:noFill/>
            </a:ln>
            <a:effectLst/>
          </c:spPr>
          <c:invertIfNegative val="0"/>
          <c:cat>
            <c:strRef>
              <c:f>'[Estadísticas y Balance de gestión OAI enero-diciembre 2024.xlsx]2023'!$B$8:$F$8</c:f>
              <c:strCache>
                <c:ptCount val="5"/>
                <c:pt idx="0">
                  <c:v>Recibidas </c:v>
                </c:pt>
                <c:pt idx="1">
                  <c:v>Pendientes</c:v>
                </c:pt>
                <c:pt idx="2">
                  <c:v>Resueltas ≤15 días</c:v>
                </c:pt>
                <c:pt idx="3">
                  <c:v>Rechazadas </c:v>
                </c:pt>
                <c:pt idx="4">
                  <c:v>Cambiadas a otra institución</c:v>
                </c:pt>
              </c:strCache>
            </c:strRef>
          </c:cat>
          <c:val>
            <c:numRef>
              <c:f>'[Estadísticas y Balance de gestión OAI enero-diciembre 2024.xlsx]2023'!$B$13:$F$13</c:f>
              <c:numCache>
                <c:formatCode>General</c:formatCode>
                <c:ptCount val="5"/>
                <c:pt idx="0">
                  <c:v>19</c:v>
                </c:pt>
                <c:pt idx="1">
                  <c:v>0</c:v>
                </c:pt>
                <c:pt idx="2">
                  <c:v>19</c:v>
                </c:pt>
                <c:pt idx="3">
                  <c:v>1</c:v>
                </c:pt>
                <c:pt idx="4">
                  <c:v>0</c:v>
                </c:pt>
              </c:numCache>
            </c:numRef>
          </c:val>
          <c:extLst>
            <c:ext xmlns:c16="http://schemas.microsoft.com/office/drawing/2014/chart" uri="{C3380CC4-5D6E-409C-BE32-E72D297353CC}">
              <c16:uniqueId val="{00000004-FD9E-42FA-A745-125281DCFAFA}"/>
            </c:ext>
          </c:extLst>
        </c:ser>
        <c:dLbls>
          <c:showLegendKey val="0"/>
          <c:showVal val="0"/>
          <c:showCatName val="0"/>
          <c:showSerName val="0"/>
          <c:showPercent val="0"/>
          <c:showBubbleSize val="0"/>
        </c:dLbls>
        <c:gapWidth val="182"/>
        <c:axId val="405554288"/>
        <c:axId val="405555272"/>
      </c:barChart>
      <c:catAx>
        <c:axId val="405554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05555272"/>
        <c:crosses val="autoZero"/>
        <c:auto val="1"/>
        <c:lblAlgn val="ctr"/>
        <c:lblOffset val="100"/>
        <c:noMultiLvlLbl val="0"/>
      </c:catAx>
      <c:valAx>
        <c:axId val="405555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055542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Estadísticas del 311-2024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16991167408421773"/>
          <c:y val="0.20233731739707841"/>
          <c:w val="0.80393180417665178"/>
          <c:h val="0.55822902615260739"/>
        </c:manualLayout>
      </c:layout>
      <c:barChart>
        <c:barDir val="bar"/>
        <c:grouping val="clustered"/>
        <c:varyColors val="0"/>
        <c:ser>
          <c:idx val="0"/>
          <c:order val="0"/>
          <c:tx>
            <c:strRef>
              <c:f>Hoja1!$B$7</c:f>
              <c:strCache>
                <c:ptCount val="1"/>
                <c:pt idx="0">
                  <c:v>Caso</c:v>
                </c:pt>
              </c:strCache>
            </c:strRef>
          </c:tx>
          <c:spPr>
            <a:solidFill>
              <a:schemeClr val="accent1"/>
            </a:solidFill>
            <a:ln>
              <a:noFill/>
            </a:ln>
            <a:effectLst/>
          </c:spPr>
          <c:invertIfNegative val="0"/>
          <c:cat>
            <c:strRef>
              <c:f>Hoja1!$A$8:$A$12</c:f>
              <c:strCache>
                <c:ptCount val="5"/>
                <c:pt idx="0">
                  <c:v>Quejas</c:v>
                </c:pt>
                <c:pt idx="1">
                  <c:v>Reclamaciones </c:v>
                </c:pt>
                <c:pt idx="2">
                  <c:v>Sugerencia</c:v>
                </c:pt>
                <c:pt idx="3">
                  <c:v>Otras</c:v>
                </c:pt>
                <c:pt idx="4">
                  <c:v>Total</c:v>
                </c:pt>
              </c:strCache>
            </c:strRef>
          </c:cat>
          <c:val>
            <c:numRef>
              <c:f>Hoja1!$B$8:$B$12</c:f>
              <c:numCache>
                <c:formatCode>General</c:formatCode>
                <c:ptCount val="5"/>
                <c:pt idx="0">
                  <c:v>2</c:v>
                </c:pt>
                <c:pt idx="1">
                  <c:v>2</c:v>
                </c:pt>
                <c:pt idx="2">
                  <c:v>0</c:v>
                </c:pt>
                <c:pt idx="3">
                  <c:v>0</c:v>
                </c:pt>
                <c:pt idx="4">
                  <c:v>4</c:v>
                </c:pt>
              </c:numCache>
            </c:numRef>
          </c:val>
          <c:extLst>
            <c:ext xmlns:c16="http://schemas.microsoft.com/office/drawing/2014/chart" uri="{C3380CC4-5D6E-409C-BE32-E72D297353CC}">
              <c16:uniqueId val="{00000000-4F21-4FDE-894C-FBEE455611FC}"/>
            </c:ext>
          </c:extLst>
        </c:ser>
        <c:ser>
          <c:idx val="1"/>
          <c:order val="1"/>
          <c:tx>
            <c:strRef>
              <c:f>Hoja1!$C$7</c:f>
              <c:strCache>
                <c:ptCount val="1"/>
                <c:pt idx="0">
                  <c:v>Resuelta</c:v>
                </c:pt>
              </c:strCache>
            </c:strRef>
          </c:tx>
          <c:spPr>
            <a:solidFill>
              <a:schemeClr val="accent2"/>
            </a:solidFill>
            <a:ln>
              <a:noFill/>
            </a:ln>
            <a:effectLst/>
          </c:spPr>
          <c:invertIfNegative val="0"/>
          <c:cat>
            <c:strRef>
              <c:f>Hoja1!$A$8:$A$12</c:f>
              <c:strCache>
                <c:ptCount val="5"/>
                <c:pt idx="0">
                  <c:v>Quejas</c:v>
                </c:pt>
                <c:pt idx="1">
                  <c:v>Reclamaciones </c:v>
                </c:pt>
                <c:pt idx="2">
                  <c:v>Sugerencia</c:v>
                </c:pt>
                <c:pt idx="3">
                  <c:v>Otras</c:v>
                </c:pt>
                <c:pt idx="4">
                  <c:v>Total</c:v>
                </c:pt>
              </c:strCache>
            </c:strRef>
          </c:cat>
          <c:val>
            <c:numRef>
              <c:f>Hoja1!$C$8:$C$12</c:f>
              <c:numCache>
                <c:formatCode>General</c:formatCode>
                <c:ptCount val="5"/>
                <c:pt idx="0">
                  <c:v>2</c:v>
                </c:pt>
                <c:pt idx="1">
                  <c:v>2</c:v>
                </c:pt>
                <c:pt idx="2">
                  <c:v>0</c:v>
                </c:pt>
                <c:pt idx="3">
                  <c:v>0</c:v>
                </c:pt>
              </c:numCache>
            </c:numRef>
          </c:val>
          <c:extLst>
            <c:ext xmlns:c16="http://schemas.microsoft.com/office/drawing/2014/chart" uri="{C3380CC4-5D6E-409C-BE32-E72D297353CC}">
              <c16:uniqueId val="{00000001-4F21-4FDE-894C-FBEE455611FC}"/>
            </c:ext>
          </c:extLst>
        </c:ser>
        <c:ser>
          <c:idx val="2"/>
          <c:order val="2"/>
          <c:tx>
            <c:strRef>
              <c:f>Hoja1!$D$7</c:f>
              <c:strCache>
                <c:ptCount val="1"/>
                <c:pt idx="0">
                  <c:v>Pendiente</c:v>
                </c:pt>
              </c:strCache>
            </c:strRef>
          </c:tx>
          <c:spPr>
            <a:solidFill>
              <a:schemeClr val="accent3"/>
            </a:solidFill>
            <a:ln>
              <a:noFill/>
            </a:ln>
            <a:effectLst/>
          </c:spPr>
          <c:invertIfNegative val="0"/>
          <c:cat>
            <c:strRef>
              <c:f>Hoja1!$A$8:$A$12</c:f>
              <c:strCache>
                <c:ptCount val="5"/>
                <c:pt idx="0">
                  <c:v>Quejas</c:v>
                </c:pt>
                <c:pt idx="1">
                  <c:v>Reclamaciones </c:v>
                </c:pt>
                <c:pt idx="2">
                  <c:v>Sugerencia</c:v>
                </c:pt>
                <c:pt idx="3">
                  <c:v>Otras</c:v>
                </c:pt>
                <c:pt idx="4">
                  <c:v>Total</c:v>
                </c:pt>
              </c:strCache>
            </c:strRef>
          </c:cat>
          <c:val>
            <c:numRef>
              <c:f>Hoja1!$D$8:$D$12</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4F21-4FDE-894C-FBEE455611FC}"/>
            </c:ext>
          </c:extLst>
        </c:ser>
        <c:dLbls>
          <c:showLegendKey val="0"/>
          <c:showVal val="0"/>
          <c:showCatName val="0"/>
          <c:showSerName val="0"/>
          <c:showPercent val="0"/>
          <c:showBubbleSize val="0"/>
        </c:dLbls>
        <c:gapWidth val="182"/>
        <c:axId val="391356128"/>
        <c:axId val="391357112"/>
      </c:barChart>
      <c:catAx>
        <c:axId val="391356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91357112"/>
        <c:crosses val="autoZero"/>
        <c:auto val="1"/>
        <c:lblAlgn val="ctr"/>
        <c:lblOffset val="100"/>
        <c:noMultiLvlLbl val="0"/>
      </c:catAx>
      <c:valAx>
        <c:axId val="391357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913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530</TotalTime>
  <Pages>4</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Betania Cordero Tiburcio</dc:creator>
  <cp:keywords/>
  <dc:description/>
  <cp:lastModifiedBy>Betania Cordero Tiburcio</cp:lastModifiedBy>
  <cp:revision>26</cp:revision>
  <dcterms:created xsi:type="dcterms:W3CDTF">2025-01-06T02:15:00Z</dcterms:created>
  <dcterms:modified xsi:type="dcterms:W3CDTF">2025-01-17T17:01:00Z</dcterms:modified>
</cp:coreProperties>
</file>